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FA1DA" w14:textId="63565966" w:rsidR="003E0B06" w:rsidRPr="001D0F24" w:rsidRDefault="00490856" w:rsidP="003E0B06">
      <w:pPr>
        <w:rPr>
          <w:sz w:val="22"/>
          <w:szCs w:val="22"/>
        </w:rPr>
      </w:pPr>
      <w:r>
        <w:rPr>
          <w:sz w:val="22"/>
          <w:szCs w:val="22"/>
        </w:rPr>
        <w:t>Good morning, alders, and t</w:t>
      </w:r>
      <w:r w:rsidR="003E0B06">
        <w:rPr>
          <w:sz w:val="22"/>
          <w:szCs w:val="22"/>
        </w:rPr>
        <w:t xml:space="preserve">hank you for the opportunity to </w:t>
      </w:r>
      <w:r w:rsidR="00F86DF4">
        <w:rPr>
          <w:sz w:val="22"/>
          <w:szCs w:val="22"/>
        </w:rPr>
        <w:t>testify</w:t>
      </w:r>
      <w:r w:rsidR="003E0B06">
        <w:rPr>
          <w:sz w:val="22"/>
          <w:szCs w:val="22"/>
        </w:rPr>
        <w:t xml:space="preserve">. </w:t>
      </w:r>
      <w:r>
        <w:rPr>
          <w:sz w:val="22"/>
          <w:szCs w:val="22"/>
        </w:rPr>
        <w:t>I’m Wesley Epplin and I serve as policy director at Health &amp; Medicine Policy Research G</w:t>
      </w:r>
      <w:r w:rsidR="00747FEE">
        <w:rPr>
          <w:sz w:val="22"/>
          <w:szCs w:val="22"/>
        </w:rPr>
        <w:t>ro</w:t>
      </w:r>
      <w:r>
        <w:rPr>
          <w:sz w:val="22"/>
          <w:szCs w:val="22"/>
        </w:rPr>
        <w:t>up.</w:t>
      </w:r>
    </w:p>
    <w:p w14:paraId="0BF0D5D5" w14:textId="02B08B61" w:rsidR="003E0B06" w:rsidRDefault="003E0B06" w:rsidP="003E0B06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1D0F24">
        <w:rPr>
          <w:sz w:val="22"/>
          <w:szCs w:val="22"/>
        </w:rPr>
        <w:t xml:space="preserve"> urge you to increase corporate funding for the Chicago Department of Public Health </w:t>
      </w:r>
      <w:r>
        <w:rPr>
          <w:sz w:val="22"/>
          <w:szCs w:val="22"/>
        </w:rPr>
        <w:t>by</w:t>
      </w:r>
      <w:r w:rsidRPr="001D0F24">
        <w:rPr>
          <w:sz w:val="22"/>
          <w:szCs w:val="22"/>
        </w:rPr>
        <w:t xml:space="preserve"> $25 million in FY2025 (compared to FY2024). This would</w:t>
      </w:r>
      <w:r w:rsidRPr="32D20F37">
        <w:rPr>
          <w:sz w:val="22"/>
          <w:szCs w:val="22"/>
        </w:rPr>
        <w:t xml:space="preserve"> bring</w:t>
      </w:r>
      <w:r w:rsidRPr="001D0F24">
        <w:rPr>
          <w:sz w:val="22"/>
          <w:szCs w:val="22"/>
        </w:rPr>
        <w:t xml:space="preserve"> total corporate funding to CDPH</w:t>
      </w:r>
      <w:r w:rsidRPr="32D20F37">
        <w:rPr>
          <w:sz w:val="22"/>
          <w:szCs w:val="22"/>
        </w:rPr>
        <w:t xml:space="preserve"> to </w:t>
      </w:r>
      <w:r w:rsidRPr="001D0F24">
        <w:rPr>
          <w:sz w:val="22"/>
          <w:szCs w:val="22"/>
        </w:rPr>
        <w:t xml:space="preserve">about </w:t>
      </w:r>
      <w:r w:rsidRPr="00BF6B86">
        <w:rPr>
          <w:sz w:val="22"/>
          <w:szCs w:val="22"/>
        </w:rPr>
        <w:t>$102</w:t>
      </w:r>
      <w:r w:rsidRPr="001D0F24">
        <w:rPr>
          <w:sz w:val="22"/>
          <w:szCs w:val="22"/>
        </w:rPr>
        <w:t xml:space="preserve"> million. </w:t>
      </w:r>
      <w:r>
        <w:rPr>
          <w:sz w:val="22"/>
          <w:szCs w:val="22"/>
        </w:rPr>
        <w:t>CDPH is understaffed in significant part due to being underfunded. More than 80 organizations signed onto our August letter requesting this increase in corporate fund dollars for CDPH.</w:t>
      </w:r>
    </w:p>
    <w:p w14:paraId="199F2AD7" w14:textId="440939F0" w:rsidR="003E0B06" w:rsidRDefault="003E0B06" w:rsidP="003E0B06">
      <w:pPr>
        <w:rPr>
          <w:sz w:val="22"/>
          <w:szCs w:val="22"/>
        </w:rPr>
      </w:pPr>
      <w:r>
        <w:rPr>
          <w:sz w:val="22"/>
          <w:szCs w:val="22"/>
        </w:rPr>
        <w:t>Mayor Brandon Johnson has proposed a reduction in Chicago Corporate Funding for CDPH</w:t>
      </w:r>
      <w:r w:rsidR="00747FEE">
        <w:rPr>
          <w:sz w:val="22"/>
          <w:szCs w:val="22"/>
        </w:rPr>
        <w:t xml:space="preserve"> for FY2025</w:t>
      </w:r>
      <w:r>
        <w:rPr>
          <w:sz w:val="22"/>
          <w:szCs w:val="22"/>
        </w:rPr>
        <w:t xml:space="preserve"> in the amount of $770,</w:t>
      </w:r>
      <w:r w:rsidR="0069752A">
        <w:rPr>
          <w:sz w:val="22"/>
          <w:szCs w:val="22"/>
        </w:rPr>
        <w:t>000</w:t>
      </w:r>
      <w:r>
        <w:rPr>
          <w:sz w:val="22"/>
          <w:szCs w:val="22"/>
        </w:rPr>
        <w:t>. Yes, Chicago has a difficult budget situation, but it is unacceptable that after decades of underfunding public health, after CDPH was under-staffed and underprepared for COVID-19, and after health inequities have been getting worse in Chicago over the last several years—that</w:t>
      </w:r>
      <w:r w:rsidR="00747FEE">
        <w:rPr>
          <w:sz w:val="22"/>
          <w:szCs w:val="22"/>
        </w:rPr>
        <w:t xml:space="preserve"> after all of that,</w:t>
      </w:r>
      <w:r>
        <w:rPr>
          <w:sz w:val="22"/>
          <w:szCs w:val="22"/>
        </w:rPr>
        <w:t xml:space="preserve"> the City of Chicago would invest less rather than more into public health. </w:t>
      </w:r>
    </w:p>
    <w:p w14:paraId="3147F13F" w14:textId="0A3B3620" w:rsidR="003E0B06" w:rsidRDefault="003E0B06" w:rsidP="003E0B06">
      <w:pPr>
        <w:rPr>
          <w:sz w:val="22"/>
          <w:szCs w:val="22"/>
        </w:rPr>
      </w:pPr>
      <w:r>
        <w:rPr>
          <w:sz w:val="22"/>
          <w:szCs w:val="22"/>
        </w:rPr>
        <w:t xml:space="preserve">At the same time this is happening, COVID-related grants are expiring, with an overall reduction to CDPH’s budget of about $140 million and 124 fewer FTEs. </w:t>
      </w:r>
    </w:p>
    <w:p w14:paraId="7AD4BCCC" w14:textId="02C6593A" w:rsidR="00747FEE" w:rsidRDefault="003E0B06" w:rsidP="003E0B06">
      <w:pPr>
        <w:rPr>
          <w:sz w:val="22"/>
          <w:szCs w:val="22"/>
        </w:rPr>
      </w:pPr>
      <w:r>
        <w:rPr>
          <w:sz w:val="22"/>
          <w:szCs w:val="22"/>
        </w:rPr>
        <w:t xml:space="preserve">In the shadow of the Federal election results this week, we should </w:t>
      </w:r>
      <w:r w:rsidR="00747FEE">
        <w:rPr>
          <w:sz w:val="22"/>
          <w:szCs w:val="22"/>
        </w:rPr>
        <w:t>expect</w:t>
      </w:r>
      <w:r>
        <w:rPr>
          <w:sz w:val="22"/>
          <w:szCs w:val="22"/>
        </w:rPr>
        <w:t xml:space="preserve"> that at the Federal level, there will likely be </w:t>
      </w:r>
      <w:r w:rsidR="00DD19BA">
        <w:rPr>
          <w:sz w:val="22"/>
          <w:szCs w:val="22"/>
        </w:rPr>
        <w:t>budget cuts to</w:t>
      </w:r>
      <w:r>
        <w:rPr>
          <w:sz w:val="22"/>
          <w:szCs w:val="22"/>
        </w:rPr>
        <w:t xml:space="preserve"> public health in the years to come</w:t>
      </w:r>
      <w:r w:rsidR="00DD19BA">
        <w:rPr>
          <w:sz w:val="22"/>
          <w:szCs w:val="22"/>
        </w:rPr>
        <w:t>—and broader attacks on public health functioning</w:t>
      </w:r>
      <w:r>
        <w:rPr>
          <w:sz w:val="22"/>
          <w:szCs w:val="22"/>
        </w:rPr>
        <w:t>.</w:t>
      </w:r>
      <w:r w:rsidR="00FE2D34">
        <w:rPr>
          <w:sz w:val="22"/>
          <w:szCs w:val="22"/>
        </w:rPr>
        <w:t xml:space="preserve"> </w:t>
      </w:r>
      <w:r w:rsidR="00747FEE">
        <w:rPr>
          <w:sz w:val="22"/>
          <w:szCs w:val="22"/>
        </w:rPr>
        <w:t>CDPH is heavily reliant on federal funding</w:t>
      </w:r>
      <w:r w:rsidR="00574F51">
        <w:rPr>
          <w:sz w:val="22"/>
          <w:szCs w:val="22"/>
        </w:rPr>
        <w:t xml:space="preserve">, </w:t>
      </w:r>
      <w:r w:rsidR="00747FEE">
        <w:rPr>
          <w:sz w:val="22"/>
          <w:szCs w:val="22"/>
        </w:rPr>
        <w:t xml:space="preserve">so such cuts will worsen the health of your constituents. </w:t>
      </w:r>
    </w:p>
    <w:p w14:paraId="7CEE3A4B" w14:textId="410A1C94" w:rsidR="003E0B06" w:rsidRDefault="00D87C07" w:rsidP="003E0B06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3E0B06">
        <w:rPr>
          <w:sz w:val="22"/>
          <w:szCs w:val="22"/>
        </w:rPr>
        <w:t xml:space="preserve">ven if </w:t>
      </w:r>
      <w:r w:rsidR="00747FEE">
        <w:rPr>
          <w:sz w:val="22"/>
          <w:szCs w:val="22"/>
        </w:rPr>
        <w:t>those cuts</w:t>
      </w:r>
      <w:r w:rsidR="003E0B06">
        <w:rPr>
          <w:sz w:val="22"/>
          <w:szCs w:val="22"/>
        </w:rPr>
        <w:t xml:space="preserve"> don’t come to pass, today CDPH is already woefully underfunded and understaffed. The bottom line is this: we need you to increase local funding to safeguard public health in Chicago</w:t>
      </w:r>
      <w:r w:rsidR="00747FEE">
        <w:rPr>
          <w:sz w:val="22"/>
          <w:szCs w:val="22"/>
        </w:rPr>
        <w:t xml:space="preserve">. </w:t>
      </w:r>
    </w:p>
    <w:p w14:paraId="2FFEBF73" w14:textId="1D822F00" w:rsidR="003E0B06" w:rsidRPr="00E54978" w:rsidRDefault="003E0B06" w:rsidP="003E0B06">
      <w:pPr>
        <w:rPr>
          <w:sz w:val="22"/>
          <w:szCs w:val="22"/>
        </w:rPr>
      </w:pPr>
      <w:r w:rsidRPr="00E54978">
        <w:rPr>
          <w:sz w:val="22"/>
          <w:szCs w:val="22"/>
        </w:rPr>
        <w:t xml:space="preserve">CDPH cannot fulfill its public health mission and lead efforts to eliminate health inequities without additional funding and staff. </w:t>
      </w:r>
    </w:p>
    <w:p w14:paraId="2ED83B57" w14:textId="31008D5F" w:rsidR="003E0B06" w:rsidRPr="00E54978" w:rsidRDefault="003E0B06" w:rsidP="003E0B06">
      <w:pPr>
        <w:rPr>
          <w:sz w:val="22"/>
          <w:szCs w:val="22"/>
        </w:rPr>
      </w:pPr>
      <w:r w:rsidRPr="00E54978">
        <w:rPr>
          <w:sz w:val="22"/>
          <w:szCs w:val="22"/>
        </w:rPr>
        <w:t xml:space="preserve">Chicago has an approximately 11-year health inequity between Black Chicagoans and other Chicagoans. Health inequities are, by definition, unfair, unjust, and </w:t>
      </w:r>
      <w:r w:rsidRPr="00E54978">
        <w:rPr>
          <w:i/>
          <w:iCs/>
          <w:sz w:val="22"/>
          <w:szCs w:val="22"/>
        </w:rPr>
        <w:t>remediable</w:t>
      </w:r>
      <w:r w:rsidRPr="00E54978">
        <w:rPr>
          <w:sz w:val="22"/>
          <w:szCs w:val="22"/>
        </w:rPr>
        <w:t>. One of the essential remedies for health inequities is a strong, well-funded, well-staffed health department that is equipped to intervene and sustain efforts to protect and promote public health.</w:t>
      </w:r>
    </w:p>
    <w:p w14:paraId="2FC85BF9" w14:textId="2DC95A56" w:rsidR="003E0B06" w:rsidRPr="00E54978" w:rsidRDefault="00127A0D" w:rsidP="003E0B06">
      <w:pPr>
        <w:rPr>
          <w:sz w:val="22"/>
          <w:szCs w:val="22"/>
        </w:rPr>
      </w:pPr>
      <w:r w:rsidRPr="00E54978">
        <w:rPr>
          <w:sz w:val="22"/>
          <w:szCs w:val="22"/>
        </w:rPr>
        <w:t>Here are a few</w:t>
      </w:r>
      <w:r w:rsidR="003E0B06" w:rsidRPr="00E54978">
        <w:rPr>
          <w:sz w:val="22"/>
          <w:szCs w:val="22"/>
        </w:rPr>
        <w:t xml:space="preserve"> examples of </w:t>
      </w:r>
      <w:r w:rsidR="00D87C07" w:rsidRPr="00E54978">
        <w:rPr>
          <w:sz w:val="22"/>
          <w:szCs w:val="22"/>
        </w:rPr>
        <w:t>areas</w:t>
      </w:r>
      <w:r w:rsidR="003E0B06" w:rsidRPr="00E54978">
        <w:rPr>
          <w:sz w:val="22"/>
          <w:szCs w:val="22"/>
        </w:rPr>
        <w:t xml:space="preserve"> that need </w:t>
      </w:r>
      <w:r w:rsidR="00747FEE" w:rsidRPr="00E54978">
        <w:rPr>
          <w:sz w:val="22"/>
          <w:szCs w:val="22"/>
        </w:rPr>
        <w:t>more funding</w:t>
      </w:r>
      <w:r w:rsidRPr="00E54978">
        <w:rPr>
          <w:sz w:val="22"/>
          <w:szCs w:val="22"/>
        </w:rPr>
        <w:t>:</w:t>
      </w:r>
      <w:r w:rsidR="003E0B06" w:rsidRPr="00E54978">
        <w:rPr>
          <w:sz w:val="22"/>
          <w:szCs w:val="22"/>
        </w:rPr>
        <w:t xml:space="preserve"> case investigators</w:t>
      </w:r>
      <w:r w:rsidRPr="00E54978">
        <w:rPr>
          <w:sz w:val="22"/>
          <w:szCs w:val="22"/>
        </w:rPr>
        <w:t xml:space="preserve">; emergency preparedness; </w:t>
      </w:r>
      <w:r w:rsidR="00D87C07" w:rsidRPr="00E54978">
        <w:rPr>
          <w:sz w:val="22"/>
          <w:szCs w:val="22"/>
        </w:rPr>
        <w:t>restaurant inspectors;</w:t>
      </w:r>
      <w:r w:rsidR="003E0B06" w:rsidRPr="00E54978">
        <w:rPr>
          <w:sz w:val="22"/>
          <w:szCs w:val="22"/>
        </w:rPr>
        <w:t xml:space="preserve"> nurse home visiting</w:t>
      </w:r>
      <w:r w:rsidR="00D87C07" w:rsidRPr="00E54978">
        <w:rPr>
          <w:sz w:val="22"/>
          <w:szCs w:val="22"/>
        </w:rPr>
        <w:t>;</w:t>
      </w:r>
      <w:r w:rsidR="003E0B06" w:rsidRPr="00E54978">
        <w:rPr>
          <w:sz w:val="22"/>
          <w:szCs w:val="22"/>
        </w:rPr>
        <w:t xml:space="preserve"> community health workers</w:t>
      </w:r>
      <w:r w:rsidR="00D87C07" w:rsidRPr="00E54978">
        <w:rPr>
          <w:sz w:val="22"/>
          <w:szCs w:val="22"/>
        </w:rPr>
        <w:t>;</w:t>
      </w:r>
      <w:r w:rsidR="003E0B06" w:rsidRPr="00E54978">
        <w:rPr>
          <w:sz w:val="22"/>
          <w:szCs w:val="22"/>
        </w:rPr>
        <w:t xml:space="preserve"> harm reduction</w:t>
      </w:r>
      <w:r w:rsidR="00D87C07" w:rsidRPr="00E54978">
        <w:rPr>
          <w:sz w:val="22"/>
          <w:szCs w:val="22"/>
        </w:rPr>
        <w:t>;</w:t>
      </w:r>
      <w:r w:rsidR="003E0B06" w:rsidRPr="00E54978">
        <w:rPr>
          <w:sz w:val="22"/>
          <w:szCs w:val="22"/>
        </w:rPr>
        <w:t xml:space="preserve"> and more—I have a chart I will send to you.</w:t>
      </w:r>
    </w:p>
    <w:p w14:paraId="26DFD23D" w14:textId="4AA8D769" w:rsidR="003E0B06" w:rsidRPr="00E54978" w:rsidRDefault="003E0B06" w:rsidP="003E0B06">
      <w:pPr>
        <w:spacing w:after="0"/>
        <w:rPr>
          <w:sz w:val="22"/>
          <w:szCs w:val="22"/>
        </w:rPr>
      </w:pPr>
      <w:r w:rsidRPr="00E54978">
        <w:rPr>
          <w:sz w:val="22"/>
          <w:szCs w:val="22"/>
        </w:rPr>
        <w:t>There’s a</w:t>
      </w:r>
      <w:r w:rsidR="00612441" w:rsidRPr="00E54978">
        <w:rPr>
          <w:sz w:val="22"/>
          <w:szCs w:val="22"/>
        </w:rPr>
        <w:t xml:space="preserve"> very</w:t>
      </w:r>
      <w:r w:rsidR="00747FEE" w:rsidRPr="00E54978">
        <w:rPr>
          <w:sz w:val="22"/>
          <w:szCs w:val="22"/>
        </w:rPr>
        <w:t xml:space="preserve"> good</w:t>
      </w:r>
      <w:r w:rsidRPr="00E54978">
        <w:rPr>
          <w:sz w:val="22"/>
          <w:szCs w:val="22"/>
        </w:rPr>
        <w:t xml:space="preserve"> reason </w:t>
      </w:r>
      <w:r w:rsidR="00612441" w:rsidRPr="00E54978">
        <w:rPr>
          <w:sz w:val="22"/>
          <w:szCs w:val="22"/>
        </w:rPr>
        <w:t>you should increase</w:t>
      </w:r>
      <w:r w:rsidRPr="00E54978">
        <w:rPr>
          <w:sz w:val="22"/>
          <w:szCs w:val="22"/>
        </w:rPr>
        <w:t xml:space="preserve"> public health</w:t>
      </w:r>
      <w:r w:rsidR="00612441" w:rsidRPr="00E54978">
        <w:rPr>
          <w:sz w:val="22"/>
          <w:szCs w:val="22"/>
        </w:rPr>
        <w:t xml:space="preserve"> funding</w:t>
      </w:r>
      <w:r w:rsidRPr="00E54978">
        <w:rPr>
          <w:sz w:val="22"/>
          <w:szCs w:val="22"/>
        </w:rPr>
        <w:t>. We are tired of people dying early deaths. We are tired of health inequities.</w:t>
      </w:r>
    </w:p>
    <w:p w14:paraId="73912621" w14:textId="77777777" w:rsidR="003E0B06" w:rsidRPr="00E54978" w:rsidRDefault="003E0B06" w:rsidP="003E0B06">
      <w:pPr>
        <w:spacing w:after="0"/>
        <w:rPr>
          <w:sz w:val="22"/>
          <w:szCs w:val="22"/>
        </w:rPr>
      </w:pPr>
    </w:p>
    <w:p w14:paraId="2270B421" w14:textId="6EFEE97A" w:rsidR="003E0B06" w:rsidRPr="00E54978" w:rsidRDefault="003E0B06" w:rsidP="003E0B06">
      <w:pPr>
        <w:rPr>
          <w:sz w:val="22"/>
          <w:szCs w:val="22"/>
        </w:rPr>
      </w:pPr>
      <w:r w:rsidRPr="00E54978">
        <w:rPr>
          <w:sz w:val="22"/>
          <w:szCs w:val="22"/>
        </w:rPr>
        <w:lastRenderedPageBreak/>
        <w:t xml:space="preserve">We are tired of </w:t>
      </w:r>
      <w:r w:rsidR="00A0632C" w:rsidRPr="00E54978">
        <w:rPr>
          <w:sz w:val="22"/>
          <w:szCs w:val="22"/>
        </w:rPr>
        <w:t>CDPH</w:t>
      </w:r>
      <w:r w:rsidRPr="00E54978">
        <w:rPr>
          <w:sz w:val="22"/>
          <w:szCs w:val="22"/>
        </w:rPr>
        <w:t xml:space="preserve"> being underfunded, understaffed, and ill-equipped to reduce and eliminate health inequities. This has got to change. </w:t>
      </w:r>
    </w:p>
    <w:p w14:paraId="5D59AAE9" w14:textId="77777777" w:rsidR="003A1F03" w:rsidRDefault="003E0B06" w:rsidP="003E0B06">
      <w:pPr>
        <w:rPr>
          <w:sz w:val="22"/>
          <w:szCs w:val="22"/>
        </w:rPr>
      </w:pPr>
      <w:r w:rsidRPr="001D0F24">
        <w:rPr>
          <w:sz w:val="22"/>
          <w:szCs w:val="22"/>
        </w:rPr>
        <w:t>What happens when our elected officials underfund our health departments?</w:t>
      </w:r>
      <w:r>
        <w:rPr>
          <w:sz w:val="22"/>
          <w:szCs w:val="22"/>
        </w:rPr>
        <w:t xml:space="preserve"> </w:t>
      </w:r>
      <w:r w:rsidRPr="001D0F24">
        <w:rPr>
          <w:sz w:val="22"/>
          <w:szCs w:val="22"/>
        </w:rPr>
        <w:t xml:space="preserve">Quite simply, public health problems go unaddressed. </w:t>
      </w:r>
    </w:p>
    <w:p w14:paraId="4C9AF77D" w14:textId="77777777" w:rsidR="00DE7C49" w:rsidRDefault="003E0B06" w:rsidP="003E0B06">
      <w:pPr>
        <w:rPr>
          <w:sz w:val="22"/>
          <w:szCs w:val="22"/>
        </w:rPr>
      </w:pPr>
      <w:r w:rsidRPr="001D0F24">
        <w:rPr>
          <w:sz w:val="22"/>
          <w:szCs w:val="22"/>
        </w:rPr>
        <w:t>More people get sick than would if we funded public health. Worse, people die early deaths.</w:t>
      </w:r>
      <w:r>
        <w:rPr>
          <w:sz w:val="22"/>
          <w:szCs w:val="22"/>
        </w:rPr>
        <w:t xml:space="preserve"> </w:t>
      </w:r>
    </w:p>
    <w:p w14:paraId="58BB1E4B" w14:textId="0E1D190B" w:rsidR="003E0B06" w:rsidRPr="001D0F24" w:rsidRDefault="003E0B06" w:rsidP="003E0B06">
      <w:pPr>
        <w:rPr>
          <w:sz w:val="22"/>
          <w:szCs w:val="22"/>
        </w:rPr>
      </w:pPr>
      <w:r>
        <w:rPr>
          <w:sz w:val="22"/>
          <w:szCs w:val="22"/>
        </w:rPr>
        <w:t xml:space="preserve">Increased </w:t>
      </w:r>
      <w:r w:rsidR="00DE7C49">
        <w:rPr>
          <w:sz w:val="22"/>
          <w:szCs w:val="22"/>
        </w:rPr>
        <w:t>funding for CDPH</w:t>
      </w:r>
      <w:r>
        <w:rPr>
          <w:sz w:val="22"/>
          <w:szCs w:val="22"/>
        </w:rPr>
        <w:t xml:space="preserve"> is a true investment in</w:t>
      </w:r>
      <w:r w:rsidR="00DE7C49">
        <w:rPr>
          <w:sz w:val="22"/>
          <w:szCs w:val="22"/>
        </w:rPr>
        <w:t xml:space="preserve"> both public health and</w:t>
      </w:r>
      <w:r>
        <w:rPr>
          <w:sz w:val="22"/>
          <w:szCs w:val="22"/>
        </w:rPr>
        <w:t xml:space="preserve"> public safety, because it makes our communities, workplaces, public spaces, and homes safer and healthier places to live and engage with others.</w:t>
      </w:r>
    </w:p>
    <w:p w14:paraId="37CBF76D" w14:textId="0A910864" w:rsidR="003E0B06" w:rsidRDefault="00747FEE" w:rsidP="003E0B06">
      <w:pPr>
        <w:rPr>
          <w:sz w:val="22"/>
          <w:szCs w:val="22"/>
        </w:rPr>
      </w:pPr>
      <w:r w:rsidRPr="001D0F24">
        <w:rPr>
          <w:sz w:val="22"/>
          <w:szCs w:val="22"/>
        </w:rPr>
        <w:t xml:space="preserve">So, </w:t>
      </w:r>
      <w:r>
        <w:rPr>
          <w:sz w:val="22"/>
          <w:szCs w:val="22"/>
        </w:rPr>
        <w:t>I</w:t>
      </w:r>
      <w:r w:rsidRPr="001D0F24">
        <w:rPr>
          <w:sz w:val="22"/>
          <w:szCs w:val="22"/>
        </w:rPr>
        <w:t xml:space="preserve"> call on you, as Chicago’s elected officials, </w:t>
      </w:r>
      <w:r>
        <w:rPr>
          <w:sz w:val="22"/>
          <w:szCs w:val="22"/>
        </w:rPr>
        <w:t>to</w:t>
      </w:r>
      <w:r w:rsidRPr="001D0F24">
        <w:rPr>
          <w:sz w:val="22"/>
          <w:szCs w:val="22"/>
        </w:rPr>
        <w:t xml:space="preserve"> increase </w:t>
      </w:r>
      <w:r>
        <w:rPr>
          <w:sz w:val="22"/>
          <w:szCs w:val="22"/>
        </w:rPr>
        <w:t xml:space="preserve">corporate </w:t>
      </w:r>
      <w:r w:rsidRPr="001D0F24">
        <w:rPr>
          <w:sz w:val="22"/>
          <w:szCs w:val="22"/>
        </w:rPr>
        <w:t>funding for the Chicago Department of Public Health in the amount of $25 million in FY 2025</w:t>
      </w:r>
      <w:r>
        <w:rPr>
          <w:sz w:val="22"/>
          <w:szCs w:val="22"/>
        </w:rPr>
        <w:t>.</w:t>
      </w:r>
      <w:r w:rsidR="00FE5945">
        <w:rPr>
          <w:sz w:val="22"/>
          <w:szCs w:val="22"/>
        </w:rPr>
        <w:t xml:space="preserve"> Thank you.</w:t>
      </w:r>
    </w:p>
    <w:p w14:paraId="47F6DECE" w14:textId="1544FDA5" w:rsidR="00FE5945" w:rsidRPr="007F5FF7" w:rsidRDefault="00FE5945" w:rsidP="003E0B06">
      <w:pPr>
        <w:rPr>
          <w:i/>
          <w:iCs/>
          <w:sz w:val="22"/>
          <w:szCs w:val="22"/>
        </w:rPr>
      </w:pPr>
      <w:r w:rsidRPr="007F5FF7">
        <w:rPr>
          <w:i/>
          <w:iCs/>
          <w:sz w:val="22"/>
          <w:szCs w:val="22"/>
        </w:rPr>
        <w:t>(End of read testimony)</w:t>
      </w:r>
    </w:p>
    <w:p w14:paraId="15936A95" w14:textId="13E84D6B" w:rsidR="003E0B06" w:rsidRDefault="00FE5945" w:rsidP="00DE67C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 w:rsidR="007F5FF7">
        <w:rPr>
          <w:sz w:val="22"/>
          <w:szCs w:val="22"/>
        </w:rPr>
        <w:t>The</w:t>
      </w:r>
      <w:r>
        <w:rPr>
          <w:sz w:val="22"/>
          <w:szCs w:val="22"/>
        </w:rPr>
        <w:t xml:space="preserve"> chart</w:t>
      </w:r>
      <w:r w:rsidR="007F5FF7">
        <w:rPr>
          <w:sz w:val="22"/>
          <w:szCs w:val="22"/>
        </w:rPr>
        <w:t xml:space="preserve"> below</w:t>
      </w:r>
      <w:r>
        <w:rPr>
          <w:sz w:val="22"/>
          <w:szCs w:val="22"/>
        </w:rPr>
        <w:t xml:space="preserve"> details public health issue areas and staffing and programs that </w:t>
      </w:r>
      <w:proofErr w:type="gramStart"/>
      <w:r>
        <w:rPr>
          <w:sz w:val="22"/>
          <w:szCs w:val="22"/>
        </w:rPr>
        <w:t>are in need of</w:t>
      </w:r>
      <w:proofErr w:type="gramEnd"/>
      <w:r>
        <w:rPr>
          <w:sz w:val="22"/>
          <w:szCs w:val="22"/>
        </w:rPr>
        <w:t xml:space="preserve"> increased funding.</w:t>
      </w:r>
    </w:p>
    <w:p w14:paraId="569ED021" w14:textId="77777777" w:rsidR="00FE5945" w:rsidRDefault="00FE5945" w:rsidP="00DE67C1">
      <w:pPr>
        <w:spacing w:after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3E0B06" w14:paraId="6386B1C2" w14:textId="77777777" w:rsidTr="5C5CB88A">
        <w:tc>
          <w:tcPr>
            <w:tcW w:w="3055" w:type="dxa"/>
          </w:tcPr>
          <w:p w14:paraId="3B5F9A2B" w14:textId="77777777" w:rsidR="003E0B06" w:rsidRPr="00F30D2F" w:rsidRDefault="003E0B06" w:rsidP="00DF1DF7">
            <w:pPr>
              <w:rPr>
                <w:b/>
                <w:bCs/>
                <w:sz w:val="22"/>
                <w:szCs w:val="22"/>
                <w:u w:val="single"/>
              </w:rPr>
            </w:pPr>
            <w:commentRangeStart w:id="0"/>
            <w:commentRangeStart w:id="1"/>
            <w:commentRangeStart w:id="2"/>
            <w:r w:rsidRPr="5C5CB88A">
              <w:rPr>
                <w:b/>
                <w:bCs/>
                <w:sz w:val="22"/>
                <w:szCs w:val="22"/>
                <w:u w:val="single"/>
              </w:rPr>
              <w:t xml:space="preserve">Public </w:t>
            </w:r>
            <w:commentRangeEnd w:id="0"/>
            <w:r>
              <w:rPr>
                <w:rStyle w:val="CommentReference"/>
              </w:rPr>
              <w:commentReference w:id="0"/>
            </w:r>
            <w:commentRangeEnd w:id="1"/>
            <w:r>
              <w:rPr>
                <w:rStyle w:val="CommentReference"/>
              </w:rPr>
              <w:commentReference w:id="1"/>
            </w:r>
            <w:commentRangeEnd w:id="2"/>
            <w:r w:rsidR="00A304F1">
              <w:rPr>
                <w:rStyle w:val="CommentReference"/>
              </w:rPr>
              <w:commentReference w:id="2"/>
            </w:r>
            <w:r w:rsidRPr="5C5CB88A">
              <w:rPr>
                <w:b/>
                <w:bCs/>
                <w:sz w:val="22"/>
                <w:szCs w:val="22"/>
                <w:u w:val="single"/>
              </w:rPr>
              <w:t>health issue area</w:t>
            </w:r>
          </w:p>
        </w:tc>
        <w:tc>
          <w:tcPr>
            <w:tcW w:w="6295" w:type="dxa"/>
          </w:tcPr>
          <w:p w14:paraId="5DAA2628" w14:textId="77777777" w:rsidR="003E0B06" w:rsidRPr="00F30D2F" w:rsidRDefault="003E0B06" w:rsidP="00DF1DF7">
            <w:pPr>
              <w:rPr>
                <w:b/>
                <w:bCs/>
                <w:sz w:val="22"/>
                <w:szCs w:val="22"/>
                <w:u w:val="single"/>
              </w:rPr>
            </w:pPr>
            <w:r w:rsidRPr="00F30D2F">
              <w:rPr>
                <w:b/>
                <w:bCs/>
                <w:sz w:val="22"/>
                <w:szCs w:val="22"/>
                <w:u w:val="single"/>
              </w:rPr>
              <w:t>Staffing and programming in need of increased funding</w:t>
            </w:r>
          </w:p>
        </w:tc>
      </w:tr>
      <w:tr w:rsidR="003E0B06" w14:paraId="03655248" w14:textId="77777777" w:rsidTr="5C5CB88A">
        <w:tc>
          <w:tcPr>
            <w:tcW w:w="3055" w:type="dxa"/>
          </w:tcPr>
          <w:p w14:paraId="415E4887" w14:textId="77777777" w:rsidR="003E0B06" w:rsidRPr="00070F5A" w:rsidRDefault="003E0B06" w:rsidP="00DF1DF7">
            <w:pPr>
              <w:rPr>
                <w:sz w:val="22"/>
                <w:szCs w:val="22"/>
              </w:rPr>
            </w:pPr>
            <w:r w:rsidRPr="00070F5A">
              <w:rPr>
                <w:sz w:val="22"/>
                <w:szCs w:val="22"/>
              </w:rPr>
              <w:t>Communicable diseases</w:t>
            </w:r>
          </w:p>
        </w:tc>
        <w:tc>
          <w:tcPr>
            <w:tcW w:w="6295" w:type="dxa"/>
          </w:tcPr>
          <w:p w14:paraId="59112FD8" w14:textId="77777777" w:rsidR="003E0B06" w:rsidRDefault="003E0B06" w:rsidP="00DF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investigators, vaccinations, wastewater surveillance, epidemiologists, safer sex education, and condom distribution</w:t>
            </w:r>
          </w:p>
        </w:tc>
      </w:tr>
      <w:tr w:rsidR="003E0B06" w14:paraId="02D38F01" w14:textId="77777777" w:rsidTr="5C5CB88A">
        <w:tc>
          <w:tcPr>
            <w:tcW w:w="3055" w:type="dxa"/>
          </w:tcPr>
          <w:p w14:paraId="61123B58" w14:textId="77777777" w:rsidR="003E0B06" w:rsidRPr="00070F5A" w:rsidRDefault="003E0B06" w:rsidP="00DF1DF7">
            <w:pPr>
              <w:rPr>
                <w:sz w:val="22"/>
                <w:szCs w:val="22"/>
              </w:rPr>
            </w:pPr>
            <w:r w:rsidRPr="00070F5A">
              <w:rPr>
                <w:sz w:val="22"/>
                <w:szCs w:val="22"/>
              </w:rPr>
              <w:t>Maternal and child health inequities</w:t>
            </w:r>
          </w:p>
        </w:tc>
        <w:tc>
          <w:tcPr>
            <w:tcW w:w="6295" w:type="dxa"/>
          </w:tcPr>
          <w:p w14:paraId="137B78BC" w14:textId="77777777" w:rsidR="003E0B06" w:rsidRDefault="003E0B06" w:rsidP="00DF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Nurse home visiting and community health workers</w:t>
            </w:r>
          </w:p>
        </w:tc>
      </w:tr>
      <w:tr w:rsidR="003E0B06" w14:paraId="187C7852" w14:textId="77777777" w:rsidTr="5C5CB88A">
        <w:tc>
          <w:tcPr>
            <w:tcW w:w="3055" w:type="dxa"/>
          </w:tcPr>
          <w:p w14:paraId="0921D084" w14:textId="77777777" w:rsidR="003E0B06" w:rsidRPr="00070F5A" w:rsidRDefault="003E0B06" w:rsidP="00DF1DF7">
            <w:pPr>
              <w:rPr>
                <w:sz w:val="22"/>
                <w:szCs w:val="22"/>
              </w:rPr>
            </w:pPr>
            <w:r w:rsidRPr="00070F5A">
              <w:rPr>
                <w:sz w:val="22"/>
                <w:szCs w:val="22"/>
              </w:rPr>
              <w:t>Chronic diseases (e.g., diabetes, heart disease, and asthma)</w:t>
            </w:r>
          </w:p>
        </w:tc>
        <w:tc>
          <w:tcPr>
            <w:tcW w:w="6295" w:type="dxa"/>
          </w:tcPr>
          <w:p w14:paraId="7148FF71" w14:textId="77777777" w:rsidR="003E0B06" w:rsidRDefault="003E0B06" w:rsidP="00DF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health workers, nutritionists, community health assessment and planning</w:t>
            </w:r>
          </w:p>
        </w:tc>
      </w:tr>
      <w:tr w:rsidR="003E0B06" w14:paraId="39CFF0DF" w14:textId="77777777" w:rsidTr="5C5CB88A">
        <w:tc>
          <w:tcPr>
            <w:tcW w:w="3055" w:type="dxa"/>
          </w:tcPr>
          <w:p w14:paraId="7A20AA17" w14:textId="77777777" w:rsidR="003E0B06" w:rsidRPr="00070F5A" w:rsidRDefault="003E0B06" w:rsidP="00DF1DF7">
            <w:pPr>
              <w:rPr>
                <w:sz w:val="22"/>
                <w:szCs w:val="22"/>
              </w:rPr>
            </w:pPr>
            <w:r w:rsidRPr="00070F5A">
              <w:rPr>
                <w:sz w:val="22"/>
                <w:szCs w:val="22"/>
              </w:rPr>
              <w:t>Food-borne illness &amp; safe food handling</w:t>
            </w:r>
          </w:p>
        </w:tc>
        <w:tc>
          <w:tcPr>
            <w:tcW w:w="6295" w:type="dxa"/>
          </w:tcPr>
          <w:p w14:paraId="522A3F6C" w14:textId="77777777" w:rsidR="003E0B06" w:rsidRDefault="003E0B06" w:rsidP="00DF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Restaurant inspectors</w:t>
            </w:r>
          </w:p>
        </w:tc>
      </w:tr>
      <w:tr w:rsidR="003E0B06" w14:paraId="3268BD06" w14:textId="77777777" w:rsidTr="5C5CB88A">
        <w:tc>
          <w:tcPr>
            <w:tcW w:w="3055" w:type="dxa"/>
          </w:tcPr>
          <w:p w14:paraId="79585E4B" w14:textId="77777777" w:rsidR="003E0B06" w:rsidRPr="00070F5A" w:rsidRDefault="003E0B06" w:rsidP="00DF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Behavioral health: </w:t>
            </w:r>
            <w:r w:rsidRPr="00070F5A">
              <w:rPr>
                <w:sz w:val="22"/>
                <w:szCs w:val="22"/>
              </w:rPr>
              <w:t>Opioids and other drug use</w:t>
            </w:r>
            <w:r>
              <w:rPr>
                <w:sz w:val="22"/>
                <w:szCs w:val="22"/>
              </w:rPr>
              <w:t xml:space="preserve"> &amp; mental health</w:t>
            </w:r>
          </w:p>
        </w:tc>
        <w:tc>
          <w:tcPr>
            <w:tcW w:w="6295" w:type="dxa"/>
          </w:tcPr>
          <w:p w14:paraId="4E2667CB" w14:textId="77777777" w:rsidR="003E0B06" w:rsidRDefault="003E0B06" w:rsidP="00DF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Harm reduction, public health vending, planning staff; investments into mental health services</w:t>
            </w:r>
          </w:p>
        </w:tc>
      </w:tr>
      <w:tr w:rsidR="003E0B06" w14:paraId="534BE043" w14:textId="77777777" w:rsidTr="5C5CB88A">
        <w:tc>
          <w:tcPr>
            <w:tcW w:w="3055" w:type="dxa"/>
          </w:tcPr>
          <w:p w14:paraId="772866B1" w14:textId="77777777" w:rsidR="003E0B06" w:rsidRPr="00070F5A" w:rsidRDefault="003E0B06" w:rsidP="00DF1DF7">
            <w:pPr>
              <w:rPr>
                <w:sz w:val="22"/>
                <w:szCs w:val="22"/>
              </w:rPr>
            </w:pPr>
            <w:r w:rsidRPr="00070F5A">
              <w:rPr>
                <w:sz w:val="22"/>
                <w:szCs w:val="22"/>
              </w:rPr>
              <w:t>Unhealthy housing</w:t>
            </w:r>
            <w:r>
              <w:rPr>
                <w:sz w:val="22"/>
                <w:szCs w:val="22"/>
              </w:rPr>
              <w:t xml:space="preserve">, which </w:t>
            </w:r>
            <w:r w:rsidRPr="00070F5A">
              <w:rPr>
                <w:sz w:val="22"/>
                <w:szCs w:val="22"/>
              </w:rPr>
              <w:t>triggers asthma &amp; causes lead poisoning</w:t>
            </w:r>
          </w:p>
        </w:tc>
        <w:tc>
          <w:tcPr>
            <w:tcW w:w="6295" w:type="dxa"/>
          </w:tcPr>
          <w:p w14:paraId="63F89A7F" w14:textId="77777777" w:rsidR="003E0B06" w:rsidRDefault="003E0B06" w:rsidP="00DF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Chicago Healthy Housing pilot, including inspectors; community health workers</w:t>
            </w:r>
          </w:p>
        </w:tc>
      </w:tr>
      <w:tr w:rsidR="003E0B06" w14:paraId="403510BD" w14:textId="77777777" w:rsidTr="5C5CB88A">
        <w:tc>
          <w:tcPr>
            <w:tcW w:w="3055" w:type="dxa"/>
          </w:tcPr>
          <w:p w14:paraId="20E75A49" w14:textId="77777777" w:rsidR="003E0B06" w:rsidRPr="00070F5A" w:rsidRDefault="003E0B06" w:rsidP="00DF1DF7">
            <w:pPr>
              <w:rPr>
                <w:sz w:val="22"/>
                <w:szCs w:val="22"/>
              </w:rPr>
            </w:pPr>
            <w:r w:rsidRPr="00070F5A">
              <w:rPr>
                <w:sz w:val="22"/>
                <w:szCs w:val="22"/>
              </w:rPr>
              <w:t>Community health and social determinants of health</w:t>
            </w:r>
          </w:p>
        </w:tc>
        <w:tc>
          <w:tcPr>
            <w:tcW w:w="6295" w:type="dxa"/>
          </w:tcPr>
          <w:p w14:paraId="667F643B" w14:textId="77777777" w:rsidR="003E0B06" w:rsidRDefault="003E0B06" w:rsidP="00DF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1D0F24">
              <w:rPr>
                <w:sz w:val="22"/>
                <w:szCs w:val="22"/>
              </w:rPr>
              <w:t>ommunity health assessment and planning; staff</w:t>
            </w:r>
            <w:r>
              <w:rPr>
                <w:sz w:val="22"/>
                <w:szCs w:val="22"/>
              </w:rPr>
              <w:t>; community health workers; Healthy Chicago Equity Zones; epidemiologists to analyze social factors causing health inequities</w:t>
            </w:r>
          </w:p>
        </w:tc>
      </w:tr>
      <w:tr w:rsidR="003E0B06" w14:paraId="1CA2F4FE" w14:textId="77777777" w:rsidTr="5C5CB88A">
        <w:tc>
          <w:tcPr>
            <w:tcW w:w="3055" w:type="dxa"/>
          </w:tcPr>
          <w:p w14:paraId="4ECFEC50" w14:textId="77777777" w:rsidR="003E0B06" w:rsidRPr="00070F5A" w:rsidRDefault="003E0B06" w:rsidP="00DF1DF7">
            <w:pPr>
              <w:rPr>
                <w:sz w:val="22"/>
                <w:szCs w:val="22"/>
              </w:rPr>
            </w:pPr>
            <w:r w:rsidRPr="00070F5A">
              <w:rPr>
                <w:sz w:val="22"/>
                <w:szCs w:val="22"/>
              </w:rPr>
              <w:t>Emergency preparedness and response</w:t>
            </w:r>
          </w:p>
        </w:tc>
        <w:tc>
          <w:tcPr>
            <w:tcW w:w="6295" w:type="dxa"/>
          </w:tcPr>
          <w:p w14:paraId="19A9A81C" w14:textId="77777777" w:rsidR="003E0B06" w:rsidRDefault="003E0B06" w:rsidP="00DF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Emergency preparedness staff; equipment; PPE</w:t>
            </w:r>
          </w:p>
        </w:tc>
      </w:tr>
      <w:tr w:rsidR="003E0B06" w14:paraId="1A0E43B7" w14:textId="77777777" w:rsidTr="5C5CB88A">
        <w:tc>
          <w:tcPr>
            <w:tcW w:w="3055" w:type="dxa"/>
          </w:tcPr>
          <w:p w14:paraId="329D7E4E" w14:textId="77777777" w:rsidR="003E0B06" w:rsidRPr="00070F5A" w:rsidRDefault="003E0B06" w:rsidP="00DF1DF7">
            <w:pPr>
              <w:rPr>
                <w:sz w:val="22"/>
                <w:szCs w:val="22"/>
              </w:rPr>
            </w:pPr>
            <w:r w:rsidRPr="00070F5A">
              <w:rPr>
                <w:sz w:val="22"/>
                <w:szCs w:val="22"/>
              </w:rPr>
              <w:t>Health care insurance and access</w:t>
            </w:r>
          </w:p>
        </w:tc>
        <w:tc>
          <w:tcPr>
            <w:tcW w:w="6295" w:type="dxa"/>
          </w:tcPr>
          <w:p w14:paraId="5F033B7E" w14:textId="77777777" w:rsidR="003E0B06" w:rsidRDefault="003E0B06" w:rsidP="00DF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health workers and health navigators</w:t>
            </w:r>
          </w:p>
        </w:tc>
      </w:tr>
      <w:tr w:rsidR="003E0B06" w14:paraId="3602AC98" w14:textId="77777777" w:rsidTr="5C5CB88A">
        <w:tc>
          <w:tcPr>
            <w:tcW w:w="3055" w:type="dxa"/>
          </w:tcPr>
          <w:p w14:paraId="30488F62" w14:textId="77777777" w:rsidR="003E0B06" w:rsidRPr="00070F5A" w:rsidRDefault="003E0B06" w:rsidP="00DF1DF7">
            <w:pPr>
              <w:rPr>
                <w:sz w:val="22"/>
                <w:szCs w:val="22"/>
              </w:rPr>
            </w:pPr>
            <w:r w:rsidRPr="00070F5A">
              <w:rPr>
                <w:sz w:val="22"/>
                <w:szCs w:val="22"/>
              </w:rPr>
              <w:t>Trauma and violence</w:t>
            </w:r>
          </w:p>
        </w:tc>
        <w:tc>
          <w:tcPr>
            <w:tcW w:w="6295" w:type="dxa"/>
          </w:tcPr>
          <w:p w14:paraId="6AB17C83" w14:textId="77777777" w:rsidR="003E0B06" w:rsidRDefault="003E0B06" w:rsidP="00DF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Trauma-informed training and technical assistance staff; community health workers</w:t>
            </w:r>
          </w:p>
        </w:tc>
      </w:tr>
    </w:tbl>
    <w:p w14:paraId="5A79A9C7" w14:textId="77777777" w:rsidR="00562097" w:rsidRDefault="00562097"/>
    <w:sectPr w:rsidR="0056209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Wesley Epplin" w:date="2024-11-06T12:15:00Z" w:initials="WE">
    <w:p w14:paraId="08E37C16" w14:textId="77777777" w:rsidR="00490856" w:rsidRDefault="00490856" w:rsidP="00490856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 don’t plan to read this portionn, but will include it in the written text, which I will send to all alders afterward.</w:t>
      </w:r>
    </w:p>
  </w:comment>
  <w:comment w:id="1" w:author="Margie Schaps" w:date="2024-11-06T12:58:00Z" w:initials="MS">
    <w:p w14:paraId="4C04E44E" w14:textId="23AC4FEC" w:rsidR="00000000" w:rsidRDefault="00000000">
      <w:pPr>
        <w:pStyle w:val="CommentText"/>
      </w:pPr>
      <w:r>
        <w:rPr>
          <w:rStyle w:val="CommentReference"/>
        </w:rPr>
        <w:annotationRef/>
      </w:r>
      <w:r w:rsidRPr="5B6E0AF4">
        <w:t xml:space="preserve">this </w:t>
      </w:r>
      <w:r w:rsidRPr="5B6E0AF4">
        <w:t>testimony is great wesley- no changes from me</w:t>
      </w:r>
    </w:p>
  </w:comment>
  <w:comment w:id="2" w:author="Wesley Epplin" w:date="2024-11-06T15:14:00Z" w:initials="WE">
    <w:p w14:paraId="61AC57A5" w14:textId="77777777" w:rsidR="00A304F1" w:rsidRDefault="00A304F1" w:rsidP="00A304F1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Thank you, Margie!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8E37C16" w15:done="0"/>
  <w15:commentEx w15:paraId="4C04E44E" w15:paraIdParent="08E37C16" w15:done="0"/>
  <w15:commentEx w15:paraId="61AC57A5" w15:paraIdParent="08E37C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6FA103" w16cex:dateUtc="2024-11-06T18:15:00Z"/>
  <w16cex:commentExtensible w16cex:durableId="6D4E36C1" w16cex:dateUtc="2024-11-06T18:58:00Z">
    <w16cex:extLst>
      <w16:ext w16:uri="{CE6994B0-6A32-4C9F-8C6B-6E91EDA988CE}">
        <cr:reactions xmlns:cr="http://schemas.microsoft.com/office/comments/2020/reactions">
          <cr:reaction reactionType="1">
            <cr:reactionInfo dateUtc="2024-11-06T21:13:55Z">
              <cr:user userId="S::wepplin@hmprg.org::56fa8ca9-13e5-4371-8a60-26b279dfcc17" userProvider="AD" userName="Wesley Epplin"/>
            </cr:reactionInfo>
          </cr:reaction>
        </cr:reactions>
      </w16:ext>
    </w16cex:extLst>
  </w16cex:commentExtensible>
  <w16cex:commentExtensible w16cex:durableId="4E5E0A72" w16cex:dateUtc="2024-11-06T2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8E37C16" w16cid:durableId="196FA103"/>
  <w16cid:commentId w16cid:paraId="4C04E44E" w16cid:durableId="6D4E36C1"/>
  <w16cid:commentId w16cid:paraId="61AC57A5" w16cid:durableId="4E5E0A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8E45B" w14:textId="77777777" w:rsidR="009261C7" w:rsidRDefault="009261C7" w:rsidP="00E54978">
      <w:pPr>
        <w:spacing w:after="0" w:line="240" w:lineRule="auto"/>
      </w:pPr>
      <w:r>
        <w:separator/>
      </w:r>
    </w:p>
  </w:endnote>
  <w:endnote w:type="continuationSeparator" w:id="0">
    <w:p w14:paraId="2241340F" w14:textId="77777777" w:rsidR="009261C7" w:rsidRDefault="009261C7" w:rsidP="00E5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4E0E7" w14:textId="65799051" w:rsidR="00E54978" w:rsidRDefault="00FE5945" w:rsidP="00E54978">
    <w:pPr>
      <w:pStyle w:val="Footer"/>
    </w:pPr>
    <w:r>
      <w:t xml:space="preserve">Contact: Wesley Epplin, MPH, </w:t>
    </w:r>
    <w:hyperlink r:id="rId1" w:history="1">
      <w:r w:rsidRPr="001B6693">
        <w:rPr>
          <w:rStyle w:val="Hyperlink"/>
        </w:rPr>
        <w:t>wepplin@hmprg.org</w:t>
      </w:r>
    </w:hyperlink>
    <w:r>
      <w:t xml:space="preserve">  312-372-4292, x25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25DA9" w14:textId="77777777" w:rsidR="009261C7" w:rsidRDefault="009261C7" w:rsidP="00E54978">
      <w:pPr>
        <w:spacing w:after="0" w:line="240" w:lineRule="auto"/>
      </w:pPr>
      <w:r>
        <w:separator/>
      </w:r>
    </w:p>
  </w:footnote>
  <w:footnote w:type="continuationSeparator" w:id="0">
    <w:p w14:paraId="38A688BE" w14:textId="77777777" w:rsidR="009261C7" w:rsidRDefault="009261C7" w:rsidP="00E5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39F41" w14:textId="77777777" w:rsidR="00E54978" w:rsidRPr="009E044B" w:rsidRDefault="00E54978">
    <w:pPr>
      <w:pStyle w:val="Header"/>
      <w:rPr>
        <w:b/>
        <w:bCs/>
        <w:sz w:val="22"/>
        <w:szCs w:val="22"/>
      </w:rPr>
    </w:pPr>
    <w:r w:rsidRPr="009E044B">
      <w:rPr>
        <w:b/>
        <w:bCs/>
        <w:sz w:val="22"/>
        <w:szCs w:val="22"/>
      </w:rPr>
      <w:t>Health &amp; Medicine Policy Research Group</w:t>
    </w:r>
  </w:p>
  <w:p w14:paraId="3A036ACD" w14:textId="75FFB55B" w:rsidR="00E54978" w:rsidRPr="009E044B" w:rsidRDefault="00E54978">
    <w:pPr>
      <w:pStyle w:val="Header"/>
      <w:rPr>
        <w:b/>
        <w:bCs/>
        <w:sz w:val="22"/>
        <w:szCs w:val="22"/>
      </w:rPr>
    </w:pPr>
    <w:r w:rsidRPr="009E044B">
      <w:rPr>
        <w:b/>
        <w:bCs/>
        <w:sz w:val="22"/>
        <w:szCs w:val="22"/>
      </w:rPr>
      <w:t xml:space="preserve">Testimony to </w:t>
    </w:r>
    <w:r w:rsidR="009E044B" w:rsidRPr="009E044B">
      <w:rPr>
        <w:b/>
        <w:bCs/>
        <w:sz w:val="22"/>
        <w:szCs w:val="22"/>
      </w:rPr>
      <w:t xml:space="preserve">the Chicago </w:t>
    </w:r>
    <w:r w:rsidRPr="009E044B">
      <w:rPr>
        <w:b/>
        <w:bCs/>
        <w:sz w:val="22"/>
        <w:szCs w:val="22"/>
      </w:rPr>
      <w:t xml:space="preserve">City Council </w:t>
    </w:r>
    <w:r w:rsidRPr="009E044B">
      <w:rPr>
        <w:b/>
        <w:bCs/>
        <w:sz w:val="22"/>
        <w:szCs w:val="22"/>
      </w:rPr>
      <w:t>Committee</w:t>
    </w:r>
    <w:r w:rsidRPr="009E044B">
      <w:rPr>
        <w:b/>
        <w:bCs/>
        <w:sz w:val="22"/>
        <w:szCs w:val="22"/>
      </w:rPr>
      <w:t xml:space="preserve"> on Budget and Gov</w:t>
    </w:r>
    <w:r w:rsidR="009E044B" w:rsidRPr="009E044B">
      <w:rPr>
        <w:b/>
        <w:bCs/>
        <w:sz w:val="22"/>
        <w:szCs w:val="22"/>
      </w:rPr>
      <w:t>ernment</w:t>
    </w:r>
    <w:r w:rsidRPr="009E044B">
      <w:rPr>
        <w:b/>
        <w:bCs/>
        <w:sz w:val="22"/>
        <w:szCs w:val="22"/>
      </w:rPr>
      <w:t xml:space="preserve"> Operations</w:t>
    </w:r>
  </w:p>
  <w:p w14:paraId="248ECA85" w14:textId="69D53B3E" w:rsidR="00E54978" w:rsidRPr="009E044B" w:rsidRDefault="00E54978">
    <w:pPr>
      <w:pStyle w:val="Header"/>
      <w:rPr>
        <w:b/>
        <w:bCs/>
        <w:sz w:val="22"/>
        <w:szCs w:val="22"/>
      </w:rPr>
    </w:pPr>
    <w:r w:rsidRPr="009E044B">
      <w:rPr>
        <w:b/>
        <w:bCs/>
        <w:sz w:val="22"/>
        <w:szCs w:val="22"/>
      </w:rPr>
      <w:t>Delivered by Wesley Epplin on November 7, 2024</w:t>
    </w:r>
  </w:p>
  <w:p w14:paraId="4B23C726" w14:textId="77777777" w:rsidR="00E54978" w:rsidRDefault="00E5497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esley Epplin">
    <w15:presenceInfo w15:providerId="AD" w15:userId="S::wepplin@hmprg.org::56fa8ca9-13e5-4371-8a60-26b279dfcc17"/>
  </w15:person>
  <w15:person w15:author="Margie Schaps">
    <w15:presenceInfo w15:providerId="AD" w15:userId="S::mschaps@hmprg.org::8fad36b8-82fb-4dc5-bcde-f3577b0851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C1"/>
    <w:rsid w:val="000C7831"/>
    <w:rsid w:val="00127A0D"/>
    <w:rsid w:val="00142726"/>
    <w:rsid w:val="00313F20"/>
    <w:rsid w:val="00344B14"/>
    <w:rsid w:val="003A1F03"/>
    <w:rsid w:val="003E0B06"/>
    <w:rsid w:val="00490856"/>
    <w:rsid w:val="00562097"/>
    <w:rsid w:val="00574F51"/>
    <w:rsid w:val="00612441"/>
    <w:rsid w:val="0069752A"/>
    <w:rsid w:val="00747FEE"/>
    <w:rsid w:val="007F5FF7"/>
    <w:rsid w:val="008532C0"/>
    <w:rsid w:val="008F5BB9"/>
    <w:rsid w:val="009261C7"/>
    <w:rsid w:val="009E044B"/>
    <w:rsid w:val="00A0632C"/>
    <w:rsid w:val="00A304F1"/>
    <w:rsid w:val="00A35D02"/>
    <w:rsid w:val="00C83DFA"/>
    <w:rsid w:val="00D87C07"/>
    <w:rsid w:val="00DD19BA"/>
    <w:rsid w:val="00DE67C1"/>
    <w:rsid w:val="00DE7C49"/>
    <w:rsid w:val="00E54978"/>
    <w:rsid w:val="00F86DF4"/>
    <w:rsid w:val="00FA7D85"/>
    <w:rsid w:val="00FE2D34"/>
    <w:rsid w:val="00FE5945"/>
    <w:rsid w:val="5C5CB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0FFC0"/>
  <w15:chartTrackingRefBased/>
  <w15:docId w15:val="{4ACE319B-B7CF-5043-8E84-E0A545E5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C1"/>
  </w:style>
  <w:style w:type="paragraph" w:styleId="Heading1">
    <w:name w:val="heading 1"/>
    <w:basedOn w:val="Normal"/>
    <w:next w:val="Normal"/>
    <w:link w:val="Heading1Char"/>
    <w:uiPriority w:val="9"/>
    <w:qFormat/>
    <w:rsid w:val="00DE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7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0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85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4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978"/>
  </w:style>
  <w:style w:type="paragraph" w:styleId="Footer">
    <w:name w:val="footer"/>
    <w:basedOn w:val="Normal"/>
    <w:link w:val="FooterChar"/>
    <w:uiPriority w:val="99"/>
    <w:unhideWhenUsed/>
    <w:rsid w:val="00E54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978"/>
  </w:style>
  <w:style w:type="character" w:styleId="Hyperlink">
    <w:name w:val="Hyperlink"/>
    <w:basedOn w:val="DefaultParagraphFont"/>
    <w:uiPriority w:val="99"/>
    <w:unhideWhenUsed/>
    <w:rsid w:val="00FE59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pplin@hmpr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1341A87F82341A9C04172A7D22B2A" ma:contentTypeVersion="8" ma:contentTypeDescription="Create a new document." ma:contentTypeScope="" ma:versionID="4ebceb037e60a3b557ae6cd78878f6e9">
  <xsd:schema xmlns:xsd="http://www.w3.org/2001/XMLSchema" xmlns:xs="http://www.w3.org/2001/XMLSchema" xmlns:p="http://schemas.microsoft.com/office/2006/metadata/properties" xmlns:ns2="8f3a8114-624f-4ff1-a5d3-ada6edde9000" xmlns:ns3="459b8f14-8652-4d9f-9889-7fb746371aa6" targetNamespace="http://schemas.microsoft.com/office/2006/metadata/properties" ma:root="true" ma:fieldsID="ed720ca0bcb1bfe98d6ee9e0349706cd" ns2:_="" ns3:_="">
    <xsd:import namespace="8f3a8114-624f-4ff1-a5d3-ada6edde9000"/>
    <xsd:import namespace="459b8f14-8652-4d9f-9889-7fb746371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a8114-624f-4ff1-a5d3-ada6edde9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8f14-8652-4d9f-9889-7fb746371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8A9A3-794A-4429-B9B4-DFF6CCA52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81DF7-3249-4B6B-A574-1419436FD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86BA9-BC73-4D18-874E-EFA703853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a8114-624f-4ff1-a5d3-ada6edde9000"/>
    <ds:schemaRef ds:uri="459b8f14-8652-4d9f-9889-7fb746371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Epplin</dc:creator>
  <cp:keywords/>
  <dc:description/>
  <cp:lastModifiedBy>Wesley Epplin</cp:lastModifiedBy>
  <cp:revision>24</cp:revision>
  <cp:lastPrinted>2024-11-07T15:44:00Z</cp:lastPrinted>
  <dcterms:created xsi:type="dcterms:W3CDTF">2024-11-04T21:44:00Z</dcterms:created>
  <dcterms:modified xsi:type="dcterms:W3CDTF">2024-11-07T16:22:00Z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0x0101007511341A87F82341A9C04172A7D22B2A</vt:lpwstr>
  </property>
</Properties>
</file>